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>
        <w:rPr>
          <w:sz w:val="24"/>
          <w:szCs w:val="24"/>
        </w:rPr>
        <w:t xml:space="preserve"> No. 1, </w:t>
      </w:r>
      <w:r>
        <w:rPr>
          <w:sz w:val="24"/>
          <w:szCs w:val="24"/>
          <w:lang w:val="es-CO"/>
        </w:rPr>
        <w:t xml:space="preserve">My first </w:t>
      </w:r>
      <w:proofErr w:type="spellStart"/>
      <w:r>
        <w:rPr>
          <w:sz w:val="24"/>
          <w:szCs w:val="24"/>
          <w:lang w:val="es-CO"/>
        </w:rPr>
        <w:t>steps</w:t>
      </w:r>
      <w:proofErr w:type="spellEnd"/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léxicas, fonológicas, sintácticas y ortográficas, entre otras. Esta competencia implica, no sólo el manejo teórico de conceptos gramaticales, ortográficos o </w:t>
      </w:r>
      <w:r w:rsidRPr="006D0684">
        <w:rPr>
          <w:rFonts w:ascii="Arial" w:hAnsi="Arial" w:cs="Arial"/>
          <w:sz w:val="24"/>
          <w:szCs w:val="24"/>
        </w:rPr>
        <w:lastRenderedPageBreak/>
        <w:t>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características individuales, los rasgos y las actitudes que conforman la personalidad y que influyen en la imagen que tenemos sobre nosotros </w:t>
      </w:r>
      <w:r w:rsidRPr="000C1B31">
        <w:rPr>
          <w:rFonts w:ascii="Arial" w:hAnsi="Arial" w:cs="Arial"/>
        </w:rPr>
        <w:lastRenderedPageBreak/>
        <w:t xml:space="preserve">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Default="00860E21" w:rsidP="00072745">
      <w:pPr>
        <w:rPr>
          <w:b/>
          <w:sz w:val="28"/>
          <w:lang w:val="en-US"/>
        </w:rPr>
      </w:pPr>
      <w:r w:rsidRPr="00427FFD">
        <w:rPr>
          <w:b/>
          <w:sz w:val="28"/>
          <w:lang w:val="en-US"/>
        </w:rPr>
        <w:t>Topic</w:t>
      </w:r>
      <w:r w:rsidR="00072745">
        <w:rPr>
          <w:b/>
          <w:sz w:val="28"/>
          <w:lang w:val="en-US"/>
        </w:rPr>
        <w:t>s: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 xml:space="preserve">The alphabet 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The colors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Greetings and leave-takings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Introducing a friend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The numbers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Personal information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My house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Action verbs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The days of the week</w:t>
      </w:r>
    </w:p>
    <w:p w:rsidR="00072745" w:rsidRDefault="00072745" w:rsidP="00072745">
      <w:pPr>
        <w:pStyle w:val="Prrafodelista"/>
        <w:numPr>
          <w:ilvl w:val="0"/>
          <w:numId w:val="7"/>
        </w:numPr>
        <w:rPr>
          <w:sz w:val="28"/>
          <w:lang w:val="en-US"/>
        </w:rPr>
      </w:pPr>
      <w:r>
        <w:rPr>
          <w:sz w:val="28"/>
          <w:lang w:val="en-US"/>
        </w:rPr>
        <w:t>The months of the year</w:t>
      </w:r>
    </w:p>
    <w:p w:rsidR="00072745" w:rsidRPr="00072745" w:rsidRDefault="00072745" w:rsidP="00072745">
      <w:pPr>
        <w:pStyle w:val="Prrafodelista"/>
        <w:rPr>
          <w:sz w:val="28"/>
          <w:lang w:val="en-US"/>
        </w:rPr>
      </w:pPr>
    </w:p>
    <w:p w:rsidR="00860E21" w:rsidRDefault="00860E21" w:rsidP="00860E21">
      <w:pPr>
        <w:rPr>
          <w:sz w:val="28"/>
          <w:lang w:val="en-US"/>
        </w:rPr>
      </w:pPr>
    </w:p>
    <w:p w:rsidR="00860E21" w:rsidRDefault="00860E21" w:rsidP="00860E2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18"/>
          <w:szCs w:val="18"/>
          <w:lang w:val="en-US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desarrollo de cada tarea debe hacerse de manera personal, demostrando avances en la comprensión y dominio de los temas como </w:t>
      </w:r>
      <w:r w:rsidRPr="00AA3C0F">
        <w:rPr>
          <w:sz w:val="28"/>
        </w:rPr>
        <w:lastRenderedPageBreak/>
        <w:t>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buen aprovechamiento y distribución del tiempo son necesarios para avanzar de manera paulatina en el proceso, además del cumplimiento oportuno para con los envíos de tareas y asistencias a 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7D1C06" w:rsidP="00860E21">
      <w:pPr>
        <w:pStyle w:val="Ttulo"/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710565</wp:posOffset>
            </wp:positionV>
            <wp:extent cx="6678295" cy="1609725"/>
            <wp:effectExtent l="19050" t="0" r="8255" b="0"/>
            <wp:wrapTight wrapText="bothSides">
              <wp:wrapPolygon edited="0">
                <wp:start x="-62" y="0"/>
                <wp:lineTo x="-62" y="21472"/>
                <wp:lineTo x="21627" y="21472"/>
                <wp:lineTo x="21627" y="0"/>
                <wp:lineTo x="-62" y="0"/>
              </wp:wrapPolygon>
            </wp:wrapTight>
            <wp:docPr id="11" name="Imagen 11" descr="C:\Users\Diego\Desktop\cle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ego\Desktop\clei 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E21">
        <w:t xml:space="preserve">Desarrollo de la guía. </w:t>
      </w:r>
    </w:p>
    <w:p w:rsidR="003523D5" w:rsidRDefault="003523D5"/>
    <w:p w:rsidR="00EA6F46" w:rsidRDefault="00EA6F46"/>
    <w:p w:rsidR="00EA6F46" w:rsidRDefault="00EA6F46"/>
    <w:p w:rsidR="00EA6F46" w:rsidRDefault="00EA6F46"/>
    <w:p w:rsidR="00EA6F46" w:rsidRDefault="00EA6F46"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214630</wp:posOffset>
            </wp:positionV>
            <wp:extent cx="7096125" cy="1866900"/>
            <wp:effectExtent l="19050" t="0" r="9525" b="0"/>
            <wp:wrapTight wrapText="bothSides">
              <wp:wrapPolygon edited="0">
                <wp:start x="-58" y="0"/>
                <wp:lineTo x="-58" y="21380"/>
                <wp:lineTo x="21629" y="21380"/>
                <wp:lineTo x="21629" y="0"/>
                <wp:lineTo x="-58" y="0"/>
              </wp:wrapPolygon>
            </wp:wrapTight>
            <wp:docPr id="12" name="Imagen 1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sectPr w:rsidR="00EA6F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3523D5"/>
    <w:rsid w:val="0046567B"/>
    <w:rsid w:val="005D264E"/>
    <w:rsid w:val="005F5E26"/>
    <w:rsid w:val="006318A3"/>
    <w:rsid w:val="00751D97"/>
    <w:rsid w:val="007B54E1"/>
    <w:rsid w:val="007D1C06"/>
    <w:rsid w:val="00860E21"/>
    <w:rsid w:val="00926559"/>
    <w:rsid w:val="00A93741"/>
    <w:rsid w:val="00B270E0"/>
    <w:rsid w:val="00D8504F"/>
    <w:rsid w:val="00EA6F46"/>
    <w:rsid w:val="00E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FFE9AF95-5C2B-45AD-AF2C-1D8A39FC14BF}"/>
</file>

<file path=customXml/itemProps2.xml><?xml version="1.0" encoding="utf-8"?>
<ds:datastoreItem xmlns:ds="http://schemas.openxmlformats.org/officeDocument/2006/customXml" ds:itemID="{8E99F587-11BD-4DDC-A936-9E6376923369}"/>
</file>

<file path=customXml/itemProps3.xml><?xml version="1.0" encoding="utf-8"?>
<ds:datastoreItem xmlns:ds="http://schemas.openxmlformats.org/officeDocument/2006/customXml" ds:itemID="{1B9D4F21-A640-49BE-A082-3BAC37834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1389</Words>
  <Characters>7641</Characters>
  <Application>Microsoft Office Word</Application>
  <DocSecurity>0</DocSecurity>
  <Lines>63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6</cp:revision>
  <dcterms:created xsi:type="dcterms:W3CDTF">2011-03-22T04:58:00Z</dcterms:created>
  <dcterms:modified xsi:type="dcterms:W3CDTF">2011-03-22T05:24:00Z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