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263" w:rsidRPr="009E0263" w:rsidRDefault="009E0263" w:rsidP="009E0263">
      <w:pPr>
        <w:jc w:val="center"/>
        <w:rPr>
          <w:rFonts w:cs="Arial"/>
          <w:b/>
          <w:szCs w:val="24"/>
        </w:rPr>
      </w:pPr>
      <w:r w:rsidRPr="009E0263">
        <w:rPr>
          <w:rFonts w:cs="Arial"/>
          <w:b/>
        </w:rPr>
        <w:t>Habilidades comunicativas en educación, estrategias y técnicas de comunicación en el aula de clases</w:t>
      </w:r>
    </w:p>
    <w:p w:rsidR="009E0263" w:rsidRPr="009E0263" w:rsidRDefault="009E0263" w:rsidP="009E0263">
      <w:pPr>
        <w:jc w:val="center"/>
        <w:rPr>
          <w:rFonts w:cs="Arial"/>
          <w:szCs w:val="24"/>
        </w:rPr>
      </w:pPr>
      <w:r w:rsidRPr="009E0263">
        <w:rPr>
          <w:rFonts w:cs="Arial"/>
          <w:szCs w:val="24"/>
        </w:rPr>
        <w:t>Por: Nelson Darío Roldán López</w:t>
      </w:r>
    </w:p>
    <w:p w:rsidR="009E0263" w:rsidRPr="009E0263" w:rsidRDefault="009E0263" w:rsidP="009E0263">
      <w:pPr>
        <w:jc w:val="both"/>
        <w:rPr>
          <w:rFonts w:cs="Arial"/>
        </w:rPr>
      </w:pPr>
      <w:r w:rsidRPr="009E0263">
        <w:rPr>
          <w:rFonts w:cs="Arial"/>
          <w:szCs w:val="24"/>
        </w:rPr>
        <w:t>E</w:t>
      </w:r>
      <w:r w:rsidRPr="009E0263">
        <w:rPr>
          <w:rFonts w:cs="Arial"/>
          <w:szCs w:val="24"/>
        </w:rPr>
        <w:t>n el entendido de que las situaciones pedagógicas son situaciones comunicativas (Tobón</w:t>
      </w:r>
      <w:bookmarkStart w:id="0" w:name="_GoBack"/>
      <w:bookmarkEnd w:id="0"/>
      <w:r w:rsidRPr="009E0263">
        <w:rPr>
          <w:rFonts w:cs="Arial"/>
          <w:szCs w:val="24"/>
        </w:rPr>
        <w:t xml:space="preserve"> Franco, 1997, p. 116), se presentan las principales habilidades comunicativas aplicables a la educación, y, en consecuencia, a la práctica de la enseñanza desde el rol de la maestra (o) o docente</w:t>
      </w:r>
      <w:r w:rsidRPr="009E0263">
        <w:rPr>
          <w:rFonts w:cs="Arial"/>
          <w:szCs w:val="24"/>
        </w:rPr>
        <w:t xml:space="preserve"> o profesional de la Comunicación</w:t>
      </w:r>
      <w:r w:rsidRPr="009E0263">
        <w:rPr>
          <w:rFonts w:cs="Arial"/>
          <w:szCs w:val="24"/>
        </w:rPr>
        <w:t>:</w:t>
      </w:r>
    </w:p>
    <w:p w:rsidR="009E0263" w:rsidRPr="009E0263" w:rsidRDefault="009E0263">
      <w:pPr>
        <w:rPr>
          <w:rFonts w:cs="Arial"/>
        </w:rPr>
      </w:pPr>
    </w:p>
    <w:tbl>
      <w:tblPr>
        <w:tblStyle w:val="Tablaconcuadrcula"/>
        <w:tblW w:w="0" w:type="auto"/>
        <w:tblLook w:val="04A0" w:firstRow="1" w:lastRow="0" w:firstColumn="1" w:lastColumn="0" w:noHBand="0" w:noVBand="1"/>
      </w:tblPr>
      <w:tblGrid>
        <w:gridCol w:w="1297"/>
        <w:gridCol w:w="2871"/>
        <w:gridCol w:w="4660"/>
      </w:tblGrid>
      <w:tr w:rsidR="009E0263" w:rsidRPr="009E0263" w:rsidTr="00701E73">
        <w:trPr>
          <w:tblHeader/>
        </w:trPr>
        <w:tc>
          <w:tcPr>
            <w:tcW w:w="1227" w:type="dxa"/>
            <w:shd w:val="clear" w:color="auto" w:fill="auto"/>
          </w:tcPr>
          <w:p w:rsidR="009E0263" w:rsidRPr="009E0263" w:rsidRDefault="009E0263" w:rsidP="00701E73">
            <w:pPr>
              <w:spacing w:before="80" w:after="80"/>
              <w:jc w:val="center"/>
              <w:rPr>
                <w:rFonts w:ascii="Arial" w:hAnsi="Arial" w:cs="Arial"/>
                <w:b/>
                <w:sz w:val="24"/>
                <w:szCs w:val="24"/>
              </w:rPr>
            </w:pPr>
            <w:r w:rsidRPr="009E0263">
              <w:rPr>
                <w:rFonts w:ascii="Arial" w:hAnsi="Arial" w:cs="Arial"/>
                <w:b/>
                <w:sz w:val="24"/>
                <w:szCs w:val="24"/>
              </w:rPr>
              <w:t>Habilidad</w:t>
            </w:r>
          </w:p>
        </w:tc>
        <w:tc>
          <w:tcPr>
            <w:tcW w:w="2879" w:type="dxa"/>
            <w:shd w:val="clear" w:color="auto" w:fill="auto"/>
          </w:tcPr>
          <w:p w:rsidR="009E0263" w:rsidRPr="009E0263" w:rsidRDefault="009E0263" w:rsidP="00701E73">
            <w:pPr>
              <w:spacing w:before="80" w:after="80"/>
              <w:jc w:val="center"/>
              <w:rPr>
                <w:rFonts w:ascii="Arial" w:hAnsi="Arial" w:cs="Arial"/>
                <w:b/>
                <w:sz w:val="24"/>
                <w:szCs w:val="24"/>
              </w:rPr>
            </w:pPr>
            <w:r w:rsidRPr="009E0263">
              <w:rPr>
                <w:rFonts w:ascii="Arial" w:hAnsi="Arial" w:cs="Arial"/>
                <w:b/>
                <w:sz w:val="24"/>
                <w:szCs w:val="24"/>
              </w:rPr>
              <w:t>Descripción/alcance</w:t>
            </w:r>
          </w:p>
        </w:tc>
        <w:tc>
          <w:tcPr>
            <w:tcW w:w="4722" w:type="dxa"/>
            <w:shd w:val="clear" w:color="auto" w:fill="auto"/>
          </w:tcPr>
          <w:p w:rsidR="009E0263" w:rsidRPr="009E0263" w:rsidRDefault="009E0263" w:rsidP="00701E73">
            <w:pPr>
              <w:spacing w:before="80" w:after="80"/>
              <w:jc w:val="center"/>
              <w:rPr>
                <w:rFonts w:ascii="Arial" w:hAnsi="Arial" w:cs="Arial"/>
                <w:b/>
                <w:sz w:val="24"/>
                <w:szCs w:val="24"/>
              </w:rPr>
            </w:pPr>
            <w:r w:rsidRPr="009E0263">
              <w:rPr>
                <w:rFonts w:ascii="Arial" w:hAnsi="Arial" w:cs="Arial"/>
                <w:b/>
                <w:sz w:val="24"/>
                <w:szCs w:val="24"/>
              </w:rPr>
              <w:t>Aplicación en el aula</w:t>
            </w:r>
          </w:p>
        </w:tc>
      </w:tr>
      <w:tr w:rsidR="009E0263" w:rsidRPr="009E0263" w:rsidTr="00701E73">
        <w:tc>
          <w:tcPr>
            <w:tcW w:w="1227" w:type="dxa"/>
            <w:vMerge w:val="restart"/>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Leer</w:t>
            </w:r>
          </w:p>
        </w:tc>
        <w:tc>
          <w:tcPr>
            <w:tcW w:w="2879" w:type="dxa"/>
            <w:vMerge w:val="restart"/>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Leer está íntimamente ligado a la capacidad humana de comprensión de textos. Por tanto, el docente demanda demostrar habilidades intermedias y superiores de </w:t>
            </w:r>
            <w:r w:rsidRPr="009E0263">
              <w:rPr>
                <w:rFonts w:ascii="Arial" w:hAnsi="Arial" w:cs="Arial"/>
                <w:b/>
                <w:sz w:val="24"/>
                <w:szCs w:val="24"/>
              </w:rPr>
              <w:t>tipologías de lectura</w:t>
            </w:r>
            <w:r w:rsidRPr="009E0263">
              <w:rPr>
                <w:rFonts w:ascii="Arial" w:hAnsi="Arial" w:cs="Arial"/>
                <w:sz w:val="24"/>
                <w:szCs w:val="24"/>
              </w:rPr>
              <w:t xml:space="preserve"> (ver columna “Aplicación en el aula) que dan contenido a su enseñanza, al tiempo, que esa destreza es un ejemplo ante sus estudiantes.</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La lectura depende del tipo de texto que abordamos, por eso el docente requiere conocer tales tipologías para aplicarlas en el aula de clases.</w:t>
            </w: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Lectura oral</w:t>
            </w:r>
            <w:r w:rsidRPr="009E0263">
              <w:rPr>
                <w:rFonts w:ascii="Arial" w:hAnsi="Arial" w:cs="Arial"/>
                <w:sz w:val="24"/>
                <w:szCs w:val="24"/>
              </w:rPr>
              <w:t>, es leer en voz alta; el sonido de la voz posibilita mayor grabación o recordación. Una correcta lectura oral, cual sinfonía, sigue los tonos, ritmos y tiempos demandados por los signos de puntuación.</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En el aula de clases, el docente podrá diseñar estrategias de lectura oral, de cuando en cuando la interrumpe y preguntará a los estudiantes el sentido o tema abordados por el texto; él complementará profundizando, concluyendo y anclando el tema o mensaje textual al contexto cercano de los estudiantes. 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rPr>
          <w:trHeight w:val="672"/>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Lectura silenciosa</w:t>
            </w:r>
            <w:r w:rsidRPr="009E0263">
              <w:rPr>
                <w:rFonts w:ascii="Arial" w:hAnsi="Arial" w:cs="Arial"/>
                <w:sz w:val="24"/>
                <w:szCs w:val="24"/>
              </w:rPr>
              <w:t>, es un modo de interacción entre el texto y el lector que obvia la experiencia auditiva. Es un tipo de lectura propia para el estudio, preparación de clases, y revisión de actividades o evaluaciones. Demanda concentración, y, por tanto, se recomienda evitar ruidos que distraigan el nivel de concentración requerido.</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En el aula de clases, el docente motivará a los estudiantes abordar un texto con </w:t>
            </w:r>
            <w:r w:rsidRPr="009E0263">
              <w:rPr>
                <w:rFonts w:ascii="Arial" w:hAnsi="Arial" w:cs="Arial"/>
                <w:sz w:val="24"/>
                <w:szCs w:val="24"/>
              </w:rPr>
              <w:lastRenderedPageBreak/>
              <w:t>este nivel de lectura. Demandará silencio y concentración, al tiempo que da un tiempo estimado para leerlo. Asimismo, valorará la comprensión de texto a partir de diferentes estrategias didácticas, como ejemplos: a) un esquema gráfico, mapa conceptual o mental como resumen de la lectura; b) una cartelera expositiva que dé cuenta de la tesis del texto (s) abordado (s); c) una dinámica donde los estudiantes dramaticen o dinamicen aquello que el texto nos quiere decir.</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rPr>
          <w:trHeight w:val="3102"/>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Lectura crítica</w:t>
            </w:r>
            <w:r w:rsidRPr="009E0263">
              <w:rPr>
                <w:rFonts w:ascii="Arial" w:hAnsi="Arial" w:cs="Arial"/>
                <w:sz w:val="24"/>
                <w:szCs w:val="24"/>
              </w:rPr>
              <w:t>, es un nivel de lectura de evaluación con el autor del texto; admite también contrastar la experiencia del lector con aquello que nos quiere decir el autor. Es un tipo de lectura propia de niveles superiores de educación como la universitaria, pero en la educación básica y media es necesario preparar al estudiante a asumir textos de esta condición.</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La aplicación en el aula puede ser la escogencia de un texto con la instrucción del docente, de confrontarlo con la realidad o contexto cercano y conocido por parte del estudiante. La discusión al final dará el nivel de criticidad del estudiante frente al texto, y se valorará su capacidad crítica.</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rPr>
          <w:trHeight w:val="978"/>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Lectura comprensiva</w:t>
            </w:r>
            <w:r w:rsidRPr="009E0263">
              <w:rPr>
                <w:rFonts w:ascii="Arial" w:hAnsi="Arial" w:cs="Arial"/>
                <w:sz w:val="24"/>
                <w:szCs w:val="24"/>
              </w:rPr>
              <w:t>, en la que pretendemos entender el contenido del mensaje del autor; somos capaces de expresarlo y compartirlo en forma de resúmenes o en diálogos con nuestros compañeros</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Como aplicación en el aula de clases puede tomarse textos como artículos de prensa o revistas periodísticas que traten algún tema de interés para los estudiantes. La orientación del docente es que de la lectura realizada el estudiante sepa expresar de qué trata el texto o parafrasearlo.</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c>
          <w:tcPr>
            <w:tcW w:w="1227" w:type="dxa"/>
            <w:vMerge w:val="restart"/>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Escribir</w:t>
            </w:r>
          </w:p>
        </w:tc>
        <w:tc>
          <w:tcPr>
            <w:tcW w:w="2879" w:type="dxa"/>
            <w:vMerge w:val="restart"/>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Esta habilidad comunicativa se articula con la de lectura. Es decir, no se concibe escribir sin leer.</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La escritura, por tanto, es una habilidad indispensable para todas las actividades de enseñanza del docente, porque es una mediación que da cuenta de los conceptos, aprendizaje logrados por el estudiante desde su competencia escritural.</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 </w:t>
            </w: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Tipos de escritura aplicables a la educación:</w:t>
            </w:r>
          </w:p>
        </w:tc>
      </w:tr>
      <w:tr w:rsidR="009E0263" w:rsidRPr="009E0263" w:rsidTr="00701E73">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La literaria,</w:t>
            </w:r>
            <w:r w:rsidRPr="009E0263">
              <w:rPr>
                <w:rFonts w:ascii="Arial" w:hAnsi="Arial" w:cs="Arial"/>
                <w:sz w:val="24"/>
                <w:szCs w:val="24"/>
              </w:rPr>
              <w:t xml:space="preserve"> que lleva al estudiante a contar tipologías de historias desde diversos géneros literarios y periodísticos. (cuento, fábula, crónica, reportaje, etc.)</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El docente puede orientar hacia este tipo de escritura recalcando en el estudiante que imagine personajes en situaciones que deberá plasmar en un cuento, obra de teatro, artículo, crónica, entre otros géneros. Se pretende incentivar la creatividad literaria del estudiante, y motivarlo a que observe el contexto donde vive para de ahí inspirar las temáticas e historias. </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La actividad se complementa con la socialización de las obras mediante estrategias de representación (obra de teatro) o exposiciones por pequeños equipos de trabajo.</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lastRenderedPageBreak/>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La periodística</w:t>
            </w:r>
            <w:r w:rsidRPr="009E0263">
              <w:rPr>
                <w:rFonts w:ascii="Arial" w:hAnsi="Arial" w:cs="Arial"/>
                <w:sz w:val="24"/>
                <w:szCs w:val="24"/>
              </w:rPr>
              <w:t xml:space="preserve">, el docente puede incentivar en el estudiante a la escritura periodística, previo trabajo de campo. Podría sugerir que unos estudiantes redacten un artículo periodístico, que otros, un reportaje, que otros una crónica. Obviamente, el docente deberá previamente explicar y mostrar ejemplos de estos tipos de géneros periodísticos. El propósito de la actividad es investigar y escribir. </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La socialización llevaría a que con los productos de los estudiantes se cree o forme parte del contenido del periódico de la institución o lugar, o de la cartelera mural.</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Académica-científica,</w:t>
            </w:r>
            <w:r w:rsidRPr="009E0263">
              <w:rPr>
                <w:rFonts w:ascii="Arial" w:hAnsi="Arial" w:cs="Arial"/>
                <w:sz w:val="24"/>
                <w:szCs w:val="24"/>
              </w:rPr>
              <w:t xml:space="preserve"> en educación básica y media se incentiva especialmente la escritura académica. Es aquella producción escritural expresa en trabajo de consulta y profundización demandados a los estudiantes.</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En educación superior toma más relevancia tanto la académica como la científica. La científica da cuenta de tipologías de textos resultados de procesos investigativos, por ejemplo, un artículo para publicar en una revista científica, una ponencia para exposición en un evento académico-científico, una </w:t>
            </w:r>
            <w:r w:rsidRPr="009E0263">
              <w:rPr>
                <w:rFonts w:ascii="Arial" w:hAnsi="Arial" w:cs="Arial"/>
                <w:sz w:val="24"/>
                <w:szCs w:val="24"/>
              </w:rPr>
              <w:lastRenderedPageBreak/>
              <w:t>capacitación derivada del resultado de investigación, entre otras formas.</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Tanto la escritura académica como la científica demanda considerar criterios escrituras acordados y aceptados por comunidades académicas-científicas. Para mayor profundización en esta temática, se dispone el texto “Manual de Redacción Académica e Investigativa: cómo escribir, evaluar y publicar artículos.” (</w:t>
            </w:r>
            <w:hyperlink r:id="rId4" w:history="1">
              <w:r w:rsidRPr="009E0263">
                <w:rPr>
                  <w:rStyle w:val="Hipervnculo"/>
                  <w:rFonts w:ascii="Arial" w:hAnsi="Arial" w:cs="Arial"/>
                  <w:sz w:val="24"/>
                  <w:szCs w:val="24"/>
                </w:rPr>
                <w:t>ver / explorar</w:t>
              </w:r>
            </w:hyperlink>
            <w:r w:rsidRPr="009E0263">
              <w:rPr>
                <w:rFonts w:ascii="Arial" w:hAnsi="Arial" w:cs="Arial"/>
                <w:sz w:val="24"/>
                <w:szCs w:val="24"/>
              </w:rPr>
              <w:t>)</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c>
          <w:tcPr>
            <w:tcW w:w="1227" w:type="dxa"/>
            <w:vMerge w:val="restart"/>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lastRenderedPageBreak/>
              <w:t>Hablar</w:t>
            </w:r>
          </w:p>
        </w:tc>
        <w:tc>
          <w:tcPr>
            <w:tcW w:w="2879" w:type="dxa"/>
            <w:vMerge w:val="restart"/>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Es la habilidad comunicativa más natural y espontánea con la que nos comunicamos los seres humanos. Como habilidad la adquirimos desde pequeños como consecuencia de la carga cultural de las diversas sociedades. </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Hablar es distinto a hablar bien, coherente y de forma comprensiva para transmitir y recibir mensajes entre seres humanos, por tanto, cada contexto situacional y comunicativo demanda un hablar acorde. Por ejemplo, una conversación informal entre </w:t>
            </w:r>
            <w:proofErr w:type="gramStart"/>
            <w:r w:rsidRPr="009E0263">
              <w:rPr>
                <w:rFonts w:ascii="Arial" w:hAnsi="Arial" w:cs="Arial"/>
                <w:sz w:val="24"/>
                <w:szCs w:val="24"/>
              </w:rPr>
              <w:t>amigos,</w:t>
            </w:r>
            <w:proofErr w:type="gramEnd"/>
            <w:r w:rsidRPr="009E0263">
              <w:rPr>
                <w:rFonts w:ascii="Arial" w:hAnsi="Arial" w:cs="Arial"/>
                <w:sz w:val="24"/>
                <w:szCs w:val="24"/>
              </w:rPr>
              <w:t xml:space="preserve"> se torna diferente cuando uno de aquéllos conversa ante </w:t>
            </w:r>
            <w:r w:rsidRPr="009E0263">
              <w:rPr>
                <w:rFonts w:ascii="Arial" w:hAnsi="Arial" w:cs="Arial"/>
                <w:sz w:val="24"/>
                <w:szCs w:val="24"/>
              </w:rPr>
              <w:lastRenderedPageBreak/>
              <w:t xml:space="preserve">un auditorio o público: adopta tonos, estilos, enunciados, construcciones oraciones más elaboradas. Esta alusión es especialmente importante para la educación en el entendido de que el docente enfrenta diariamente un acto de habla en su aula de clases. </w:t>
            </w: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lastRenderedPageBreak/>
              <w:t>En educación el hablar es la acción vinculante en toda conversación frente a frente entre seres humanos, en consecuencia, se nos ocurre proponer algunas estrategias y técnicas conversaciones, por parte del docente, en el aula de clases:</w:t>
            </w:r>
          </w:p>
        </w:tc>
      </w:tr>
      <w:tr w:rsidR="009E0263" w:rsidRPr="009E0263" w:rsidTr="00701E73">
        <w:trPr>
          <w:trHeight w:val="1639"/>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Exposición magistral</w:t>
            </w:r>
            <w:r w:rsidRPr="009E0263">
              <w:rPr>
                <w:rFonts w:ascii="Arial" w:hAnsi="Arial" w:cs="Arial"/>
                <w:sz w:val="24"/>
                <w:szCs w:val="24"/>
              </w:rPr>
              <w:t xml:space="preserve">, realmente es una forma de conversación donde el docente se dirige a sus estudiantes, y cuyo discurso es el objeto de estudio o de interés para todos. Desanima a los estudiantes la posición pasiva de escuchar, por lo tanto, es recomendable que el docente haga pausas para motivar a la interacción del grupo en torno a preguntas y aportes que en todo caso enriquecen la situación comunicativa. Están desgastadas interpelaciones del docente como “¿me han comprendido?, ¿está claro lo que he expuesto? o similares. A cambio se sugiere, estrategias o técnicas más retadoras y que agreguen valor a la situación expositiva y ésta se convierta en una situación conversacional y comunicativa. </w:t>
            </w:r>
            <w:r w:rsidRPr="009E0263">
              <w:rPr>
                <w:rFonts w:ascii="Arial" w:hAnsi="Arial" w:cs="Arial"/>
                <w:sz w:val="24"/>
                <w:szCs w:val="24"/>
              </w:rPr>
              <w:lastRenderedPageBreak/>
              <w:t xml:space="preserve">Por ejemplo, pausar la exposición y lanzar una invitación al grupo sobre qué han entendido de su exposición magistral. </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Otro ejemplo o estrategia es escribir en el tablero o papelógrafo una colección de expresiones o palabras clave, y con base en ello, invitar al grupo a redactar un </w:t>
            </w:r>
            <w:proofErr w:type="spellStart"/>
            <w:r w:rsidRPr="009E0263">
              <w:rPr>
                <w:rFonts w:ascii="Arial" w:hAnsi="Arial" w:cs="Arial"/>
                <w:sz w:val="24"/>
                <w:szCs w:val="24"/>
              </w:rPr>
              <w:t>microtexto</w:t>
            </w:r>
            <w:proofErr w:type="spellEnd"/>
            <w:r w:rsidRPr="009E0263">
              <w:rPr>
                <w:rFonts w:ascii="Arial" w:hAnsi="Arial" w:cs="Arial"/>
                <w:sz w:val="24"/>
                <w:szCs w:val="24"/>
              </w:rPr>
              <w:t xml:space="preserve"> que el estudiante debe leer y luego explicar con sus propios argumentos y conceptos.</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rPr>
          <w:trHeight w:val="1637"/>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 xml:space="preserve">La narración: </w:t>
            </w:r>
            <w:r w:rsidRPr="009E0263">
              <w:rPr>
                <w:rFonts w:ascii="Arial" w:hAnsi="Arial" w:cs="Arial"/>
                <w:sz w:val="24"/>
                <w:szCs w:val="24"/>
              </w:rPr>
              <w:t>es un tipo de conversación vinculada con acciones y gestos teatrales. Es muy propia de los cuenteros, artistas y actores. En educación sirven para contar historias (por parte de docente y de los estudiantes). Las historias agradan a las personas, porque despiertan el interés, curiosidad e imaginación sobre los acontecimientos que se narran. Por eso, el uso de la narración oral en la educación se convierte en una estrategia didáctica y comunicativa que agrega valor a la habilidad expresiva y de comunicación del docente. Podría utilizarse de la siguiente manera: el docente prepara su clase magistral, y la inicia contando una historia, prosigue con la exposición magistral, y la termina contando otra historia o continuando el hilo de la que empezó al inicio. Podría motivar, como tarea o práctica, a los estudiantes a que contaran historias o anécdotas vinculadas con el tema de clase.</w:t>
            </w:r>
          </w:p>
          <w:p w:rsidR="009E0263" w:rsidRPr="009E0263" w:rsidRDefault="009E0263" w:rsidP="00701E73">
            <w:pPr>
              <w:spacing w:before="80" w:after="80"/>
              <w:rPr>
                <w:rFonts w:ascii="Arial" w:hAnsi="Arial" w:cs="Arial"/>
                <w:i/>
                <w:sz w:val="24"/>
                <w:szCs w:val="24"/>
              </w:rPr>
            </w:pPr>
            <w:r w:rsidRPr="009E0263">
              <w:rPr>
                <w:rFonts w:ascii="Arial" w:hAnsi="Arial" w:cs="Arial"/>
                <w:sz w:val="24"/>
                <w:szCs w:val="24"/>
              </w:rPr>
              <w:lastRenderedPageBreak/>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rPr>
          <w:trHeight w:val="1637"/>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Grupos de discusión</w:t>
            </w:r>
            <w:r w:rsidRPr="009E0263">
              <w:rPr>
                <w:rFonts w:ascii="Arial" w:hAnsi="Arial" w:cs="Arial"/>
                <w:sz w:val="24"/>
                <w:szCs w:val="24"/>
              </w:rPr>
              <w:t>: es una técnica conversacional y de habla alrededor de una tema o problema en específico, que está orientada a la obtención de información cualitativa colaborativa sobre ese asunto o tema de interés.</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El docente podrá conformar los grupos de discusión, entregar el tema u objeto de discusión. Regulará los tiempos para: a) discusión; b) concertación; c) exposición o socialización. La valoración de esta técnica y su estrategia será la participación y colaboración, así como la argumentación en la fase de socialización y exposición.</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rPr>
          <w:trHeight w:val="1924"/>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La simulación y los juegos de rol,</w:t>
            </w:r>
            <w:r w:rsidRPr="009E0263">
              <w:rPr>
                <w:rFonts w:ascii="Arial" w:hAnsi="Arial" w:cs="Arial"/>
                <w:sz w:val="24"/>
                <w:szCs w:val="24"/>
              </w:rPr>
              <w:t xml:space="preserve"> se toma para el presente módulo textualmente, sobre esta técnica comunicativa, y para fines estrictamente educativos los aportes de Lorenzo (2009, p. 114): así:</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La simulación de roles y los juegos de roles son prácticas lingüísticas controladas y pre-comunicativas donde los estudiantes deben actuar a partir de los papeles que les son asignados, actuando ellos mismos, de acuerdo con pautas predeterminadas por el profesor.</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Se les pide que asuman un papel concreto en una situación determinada (p. ej. encontrar casualmente a un amigo </w:t>
            </w:r>
            <w:r w:rsidRPr="009E0263">
              <w:rPr>
                <w:rFonts w:ascii="Arial" w:hAnsi="Arial" w:cs="Arial"/>
                <w:sz w:val="24"/>
                <w:szCs w:val="24"/>
              </w:rPr>
              <w:lastRenderedPageBreak/>
              <w:t>al que no ve hace años) y a partir de ahí crear los diálogos pertinentes.</w:t>
            </w:r>
          </w:p>
          <w:p w:rsidR="009E0263" w:rsidRPr="009E0263" w:rsidRDefault="009E0263" w:rsidP="00701E73">
            <w:pPr>
              <w:spacing w:before="80" w:after="80"/>
              <w:rPr>
                <w:rFonts w:ascii="Arial" w:hAnsi="Arial" w:cs="Arial"/>
                <w:i/>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rPr>
          <w:trHeight w:val="1923"/>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i/>
                <w:sz w:val="24"/>
                <w:szCs w:val="24"/>
              </w:rPr>
              <w:t xml:space="preserve">La técnica de la improvisación, </w:t>
            </w:r>
            <w:r w:rsidRPr="009E0263">
              <w:rPr>
                <w:rFonts w:ascii="Arial" w:hAnsi="Arial" w:cs="Arial"/>
                <w:sz w:val="24"/>
                <w:szCs w:val="24"/>
              </w:rPr>
              <w:t>continuando con Lorenzo (2005, p. 114)</w:t>
            </w:r>
            <w:r w:rsidRPr="009E0263">
              <w:rPr>
                <w:rFonts w:ascii="Arial" w:hAnsi="Arial" w:cs="Arial"/>
                <w:i/>
                <w:sz w:val="24"/>
                <w:szCs w:val="24"/>
              </w:rPr>
              <w:t xml:space="preserve"> </w:t>
            </w:r>
            <w:r w:rsidRPr="009E0263">
              <w:rPr>
                <w:rFonts w:ascii="Arial" w:hAnsi="Arial" w:cs="Arial"/>
                <w:sz w:val="24"/>
                <w:szCs w:val="24"/>
              </w:rPr>
              <w:t xml:space="preserve">expresa que: </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es una práctica menos controlada en la que normalmente a los estudiantes se les ofrece como estímulo solo una situación, que pueden interpretar y explotar como deseen. Un ejemplo de esta técnica podría realizarse a través de la explotación de una fotografía en la cual se ve a una persona (o a un grupo de personas) observando el paisaje. Actuando solo o </w:t>
            </w:r>
            <w:proofErr w:type="gramStart"/>
            <w:r w:rsidRPr="009E0263">
              <w:rPr>
                <w:rFonts w:ascii="Arial" w:hAnsi="Arial" w:cs="Arial"/>
                <w:sz w:val="24"/>
                <w:szCs w:val="24"/>
              </w:rPr>
              <w:t>conjuntamente con</w:t>
            </w:r>
            <w:proofErr w:type="gramEnd"/>
            <w:r w:rsidRPr="009E0263">
              <w:rPr>
                <w:rFonts w:ascii="Arial" w:hAnsi="Arial" w:cs="Arial"/>
                <w:sz w:val="24"/>
                <w:szCs w:val="24"/>
              </w:rPr>
              <w:t xml:space="preserve"> otro estudiante deberá imaginarse personaje de esa fotografía y explicar las situaciones que llevaron a ese momento e imaginarse lo que ocurre después.</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Como se puede observar, no hay una frontera precisa entre la improvisación y las otras formas de juego de rol comentadas. La improvisación es quizás la forma de juego en que los estudiantes pueden ser más creativos porque se ven menos limitados en su representación personal de la situación. Sin embargo, esta creatividad</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se ve limitada en situaciones fuera del aula, donde hay un límite impuesto por lo que hay que decir y hacer dependiendo de las circunstancias. Si bien la improvisación no prepara al alumno para situaciones «concretas» no se puede negar que le da confianza y seguridad emocional en el manejo de la misma.</w:t>
            </w:r>
          </w:p>
          <w:p w:rsidR="009E0263" w:rsidRPr="009E0263" w:rsidRDefault="009E0263" w:rsidP="00701E73">
            <w:pPr>
              <w:spacing w:before="80" w:after="80"/>
              <w:rPr>
                <w:rFonts w:ascii="Arial" w:hAnsi="Arial" w:cs="Arial"/>
                <w:i/>
                <w:sz w:val="24"/>
                <w:szCs w:val="24"/>
              </w:rPr>
            </w:pPr>
            <w:r w:rsidRPr="009E0263">
              <w:rPr>
                <w:rFonts w:ascii="Arial" w:hAnsi="Arial" w:cs="Arial"/>
                <w:sz w:val="24"/>
                <w:szCs w:val="24"/>
              </w:rPr>
              <w:lastRenderedPageBreak/>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rPr>
          <w:trHeight w:val="1923"/>
        </w:trPr>
        <w:tc>
          <w:tcPr>
            <w:tcW w:w="1227" w:type="dxa"/>
            <w:vMerge/>
          </w:tcPr>
          <w:p w:rsidR="009E0263" w:rsidRPr="009E0263" w:rsidRDefault="009E0263" w:rsidP="00701E73">
            <w:pPr>
              <w:spacing w:before="80" w:after="80"/>
              <w:rPr>
                <w:rFonts w:ascii="Arial" w:hAnsi="Arial" w:cs="Arial"/>
                <w:sz w:val="24"/>
                <w:szCs w:val="24"/>
              </w:rPr>
            </w:pPr>
          </w:p>
        </w:tc>
        <w:tc>
          <w:tcPr>
            <w:tcW w:w="2879" w:type="dxa"/>
            <w:vMerge/>
          </w:tcPr>
          <w:p w:rsidR="009E0263" w:rsidRPr="009E0263" w:rsidRDefault="009E0263" w:rsidP="00701E73">
            <w:pPr>
              <w:spacing w:before="80" w:after="80"/>
              <w:jc w:val="center"/>
              <w:rPr>
                <w:rFonts w:ascii="Arial" w:hAnsi="Arial" w:cs="Arial"/>
                <w:sz w:val="24"/>
                <w:szCs w:val="24"/>
              </w:rPr>
            </w:pP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Y seguimos con la </w:t>
            </w:r>
            <w:r w:rsidRPr="009E0263">
              <w:rPr>
                <w:rFonts w:ascii="Arial" w:hAnsi="Arial" w:cs="Arial"/>
                <w:i/>
                <w:sz w:val="24"/>
                <w:szCs w:val="24"/>
              </w:rPr>
              <w:t xml:space="preserve">Técnica de las imágenes, </w:t>
            </w:r>
            <w:r w:rsidRPr="009E0263">
              <w:rPr>
                <w:rFonts w:ascii="Arial" w:hAnsi="Arial" w:cs="Arial"/>
                <w:sz w:val="24"/>
                <w:szCs w:val="24"/>
              </w:rPr>
              <w:t xml:space="preserve">desde Lorenzo (2005, p. 114-115) en la que la autora sostiene que a nuestro modo de ver las imágenes se presentan como la técnica más productiva, la que más moviliza al alumno y, en consecuencia, estimula su producción oral. Se pueden utilizar en cualquier nivel y en cualquier fase de la clase, y por ofrecer una gran variedad de soportes influyen positivamente en la dinámica de la clase. Con ellas no solo se activa el intelecto sino también la parte afectiva del estudiante. Vivimos rodeados de imágenes; todas y cada una nos inspiran diferentes sensaciones; así resulta mucho más fácil expresar oralmente lo que se «aprehende» visualmente. Es sabido que la mejor forma de trabajar con los alumnos es estimular el pensamiento dialéctico para alcanzar el equilibrio que nos lleve al suceso de nuestro emprendimiento. Pensamiento dialéctico es una forma de observar las posibilidades de una proposición, el arte de razonar, argumentar o discutir. Para inducir a sus alumnos a ponerlo en práctica el profesor propone un tema y los alumnos deben analizarlo y tratar de mostrar los opuestos y sus consecuencias. En este sentido, las imágenes representan un soporte importantísimo para fomentar este pensamiento dialéctico. Además, trabajando de esta manera, el profesor se aleja de una situación maniqueísta mediante la cual tiende a dirigir a los alumnos hacia una determinada opinión. </w:t>
            </w:r>
            <w:r w:rsidRPr="009E0263">
              <w:rPr>
                <w:rFonts w:ascii="Arial" w:hAnsi="Arial" w:cs="Arial"/>
                <w:sz w:val="24"/>
                <w:szCs w:val="24"/>
              </w:rPr>
              <w:lastRenderedPageBreak/>
              <w:t>Ahora bien, ya sea con las imágenes o con cualquier otra técnica, lo ideal es que el profesor evite manipular la conversación y estimule lo que nosotras denominamos tolerancia social o tolerancia de opinión y que nos ha dado excelentes resultados en nuestras clases de conversación.</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r w:rsidR="009E0263" w:rsidRPr="009E0263" w:rsidTr="00701E73">
        <w:tc>
          <w:tcPr>
            <w:tcW w:w="1227" w:type="dxa"/>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lastRenderedPageBreak/>
              <w:t>Escuchar</w:t>
            </w:r>
          </w:p>
        </w:tc>
        <w:tc>
          <w:tcPr>
            <w:tcW w:w="2879" w:type="dxa"/>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Oír no es escuchar; escuchar entender y comprender aquel (aquella) que interactúa con otro (a). La escucha sí que es un arte que precisa de gran esfuerzo y paciencia de todos los seres humanos, y especialmente en la educación. Desde la disciplina de la Psicología recomiendan que para adquirir tal habilidad es necesario prestar verdadera atención a lo aquello que nos están diciendo y ponernos en el lugar de quien habla, tratando de entenderlo según sus necesidades, circunstancias, contextos y su forma de ver las cosas.</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 xml:space="preserve">Los seres humanos necesitan ser escuchados, y al tiempo escuchar con atención: es una ecuación de </w:t>
            </w:r>
            <w:r w:rsidRPr="009E0263">
              <w:rPr>
                <w:rFonts w:ascii="Arial" w:hAnsi="Arial" w:cs="Arial"/>
                <w:sz w:val="24"/>
                <w:szCs w:val="24"/>
              </w:rPr>
              <w:lastRenderedPageBreak/>
              <w:t>doble vía que no siempre funciona así en la realidad. Escuchar al otro (a) nos hace más cercanos y se crea un vínculo más estrecho, contextual y confidencial.</w:t>
            </w:r>
          </w:p>
        </w:tc>
        <w:tc>
          <w:tcPr>
            <w:tcW w:w="4722" w:type="dxa"/>
          </w:tcPr>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lastRenderedPageBreak/>
              <w:t>Más que técnicas y estrategias para escuchar en la educación, la recomendación principal se centra en ponerse en el lugar de quien se expresa, interesarse en su situación. No sobra el respeto; y obviamente la realimentación, respuesta o preguntas motivadoras de aclaración o profundización que llevan a prolongar el acto comunicativo.</w:t>
            </w:r>
          </w:p>
          <w:p w:rsidR="009E0263" w:rsidRPr="009E0263" w:rsidRDefault="009E0263" w:rsidP="00701E73">
            <w:pPr>
              <w:spacing w:before="80" w:after="80"/>
              <w:rPr>
                <w:rFonts w:ascii="Arial" w:hAnsi="Arial" w:cs="Arial"/>
                <w:sz w:val="24"/>
                <w:szCs w:val="24"/>
              </w:rPr>
            </w:pPr>
            <w:r w:rsidRPr="009E0263">
              <w:rPr>
                <w:rFonts w:ascii="Arial" w:hAnsi="Arial" w:cs="Arial"/>
                <w:sz w:val="24"/>
                <w:szCs w:val="24"/>
              </w:rPr>
              <w:t>Para este propósito podría apoyarse en TIC con acceso a internet como el computador para que el estudiante realice resúmenes de lo leído y posibilidades de aplicación al contexto y vida cercanos del alumnado.</w:t>
            </w:r>
          </w:p>
        </w:tc>
      </w:tr>
    </w:tbl>
    <w:p w:rsidR="009E0263" w:rsidRPr="009E0263" w:rsidRDefault="009E0263">
      <w:pPr>
        <w:rPr>
          <w:rFonts w:cs="Arial"/>
        </w:rPr>
      </w:pPr>
    </w:p>
    <w:sectPr w:rsidR="009E0263" w:rsidRPr="009E02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63"/>
    <w:rsid w:val="001441AE"/>
    <w:rsid w:val="009E0263"/>
    <w:rsid w:val="00F855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CFC9"/>
  <w15:chartTrackingRefBased/>
  <w15:docId w15:val="{3677A8C7-C96A-4C38-BCC6-F7D8ADD4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02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9E0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n.edu.co/institucion/sala-prensa/Documents/manual-de-redaccion-mayo-05-2011.pdf" TargetMode="Externa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CCF45D1EB206448597A6ACCF404A65" ma:contentTypeVersion="9" ma:contentTypeDescription="Crear nuevo documento." ma:contentTypeScope="" ma:versionID="6d099c5b83655d14cd2a5e15f26cb821">
  <xsd:schema xmlns:xsd="http://www.w3.org/2001/XMLSchema" xmlns:xs="http://www.w3.org/2001/XMLSchema" xmlns:p="http://schemas.microsoft.com/office/2006/metadata/properties" xmlns:ns2="cae778a9-23f7-4892-b6c3-17ac6a7b39c3" xmlns:ns3="c9bc6f6d-d7c9-4f92-9ea8-1928abe25730" targetNamespace="http://schemas.microsoft.com/office/2006/metadata/properties" ma:root="true" ma:fieldsID="876ab0a3cab2f9cec2bce729a02b3cdb" ns2:_="" ns3:_="">
    <xsd:import namespace="cae778a9-23f7-4892-b6c3-17ac6a7b39c3"/>
    <xsd:import namespace="c9bc6f6d-d7c9-4f92-9ea8-1928abe25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Descripci_x00f3_n"/>
                <xsd:element ref="ns2:Eti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778a9-23f7-4892-b6c3-17ac6a7b3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escripci_x00f3_n" ma:index="15" ma:displayName="Descripción" ma:format="Dropdown" ma:internalName="Descripci_x00f3_n">
      <xsd:simpleType>
        <xsd:restriction base="dms:Note">
          <xsd:maxLength value="255"/>
        </xsd:restriction>
      </xsd:simpleType>
    </xsd:element>
    <xsd:element name="Etiq" ma:index="16" ma:displayName="Etiq" ma:description="Facultad" ma:format="Dropdown" ma:internalName="Etiq">
      <xsd:simpleType>
        <xsd:union memberTypes="dms:Text">
          <xsd:simpleType>
            <xsd:restriction base="dms:Choice">
              <xsd:enumeration value="FCiencias de la Educ. Soc. y Hum."/>
              <xsd:enumeration value="FCiencias Econ. Adm. y Cont."/>
              <xsd:enumeration value="FIng. y Ciencias Ambientales"/>
              <xsd:enumeration value="Convenios"/>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9bc6f6d-d7c9-4f92-9ea8-1928abe2573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cae778a9-23f7-4892-b6c3-17ac6a7b39c3"/>
    <Etiq xmlns="cae778a9-23f7-4892-b6c3-17ac6a7b39c3"/>
  </documentManagement>
</p:properties>
</file>

<file path=customXml/itemProps1.xml><?xml version="1.0" encoding="utf-8"?>
<ds:datastoreItem xmlns:ds="http://schemas.openxmlformats.org/officeDocument/2006/customXml" ds:itemID="{5B703674-03BF-4DB7-8835-127E75211900}"/>
</file>

<file path=customXml/itemProps2.xml><?xml version="1.0" encoding="utf-8"?>
<ds:datastoreItem xmlns:ds="http://schemas.openxmlformats.org/officeDocument/2006/customXml" ds:itemID="{31EDEC10-2FFC-498C-9052-F0D75FC1184C}"/>
</file>

<file path=customXml/itemProps3.xml><?xml version="1.0" encoding="utf-8"?>
<ds:datastoreItem xmlns:ds="http://schemas.openxmlformats.org/officeDocument/2006/customXml" ds:itemID="{33CEC72A-37FB-4A70-98B9-F9F1F10087F5}"/>
</file>

<file path=docProps/app.xml><?xml version="1.0" encoding="utf-8"?>
<Properties xmlns="http://schemas.openxmlformats.org/officeDocument/2006/extended-properties" xmlns:vt="http://schemas.openxmlformats.org/officeDocument/2006/docPropsVTypes">
  <Template>Normal</Template>
  <TotalTime>3</TotalTime>
  <Pages>11</Pages>
  <Words>2686</Words>
  <Characters>14773</Characters>
  <Application>Microsoft Office Word</Application>
  <DocSecurity>0</DocSecurity>
  <Lines>123</Lines>
  <Paragraphs>34</Paragraphs>
  <ScaleCrop>false</ScaleCrop>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 ROLDAN L.</dc:creator>
  <cp:keywords/>
  <dc:description/>
  <cp:lastModifiedBy>NELSON D. ROLDAN L.</cp:lastModifiedBy>
  <cp:revision>1</cp:revision>
  <dcterms:created xsi:type="dcterms:W3CDTF">2018-06-27T19:57:00Z</dcterms:created>
  <dcterms:modified xsi:type="dcterms:W3CDTF">2018-06-27T20:00:00Z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0x010100F4CCF45D1EB206448597A6ACCF404A65</vt:lpwstr>
  </property>
</Properties>
</file>